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27A81248" w14:textId="14319654" w:rsidR="00652637" w:rsidRPr="00FF03B5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5592" w14:textId="77777777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lastRenderedPageBreak/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брака, или быть не родственниками, либо и 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и другими. Домохозяйства могут быть частными, коллективными (группы лиц, проживающих в учреждениях социального и медицинского назначения, местах лишения свободы, казармах, религиозных организациях и т.п.)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F55">
        <w:rPr>
          <w:rFonts w:ascii="Times New Roman" w:hAnsi="Times New Roman" w:cs="Times New Roman"/>
          <w:sz w:val="28"/>
          <w:szCs w:val="28"/>
        </w:rPr>
        <w:t xml:space="preserve"> бездомных. </w:t>
      </w:r>
    </w:p>
    <w:p w14:paraId="59AD62B5" w14:textId="77777777" w:rsidR="00FF03B5" w:rsidRPr="00FD1F5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5">
        <w:rPr>
          <w:rFonts w:ascii="Times New Roman" w:hAnsi="Times New Roman" w:cs="Times New Roman"/>
          <w:sz w:val="28"/>
          <w:szCs w:val="28"/>
        </w:rPr>
        <w:t xml:space="preserve"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FD1F55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FD1F55">
        <w:rPr>
          <w:rFonts w:ascii="Times New Roman" w:hAnsi="Times New Roman" w:cs="Times New Roman"/>
          <w:sz w:val="28"/>
          <w:szCs w:val="28"/>
        </w:rPr>
        <w:t xml:space="preserve"> типа, других жилых помещениях и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14:paraId="6BB09B16" w14:textId="77777777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25">
        <w:rPr>
          <w:rFonts w:ascii="Times New Roman" w:hAnsi="Times New Roman" w:cs="Times New Roman"/>
          <w:b/>
          <w:sz w:val="28"/>
          <w:szCs w:val="28"/>
        </w:rPr>
        <w:t>Рождаемость.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E3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381525">
        <w:rPr>
          <w:rFonts w:ascii="Times New Roman" w:hAnsi="Times New Roman" w:cs="Times New Roman"/>
          <w:sz w:val="28"/>
          <w:szCs w:val="28"/>
        </w:rPr>
        <w:t>рождаемости п</w:t>
      </w:r>
      <w:r w:rsidRPr="001E21E3">
        <w:rPr>
          <w:rFonts w:ascii="Times New Roman" w:hAnsi="Times New Roman" w:cs="Times New Roman"/>
          <w:sz w:val="28"/>
          <w:szCs w:val="28"/>
        </w:rPr>
        <w:t xml:space="preserve">олучены на основе ответов женщин в возрасте 15 лет и более, проживавших в частных домохозяйствах, на вопросы </w:t>
      </w:r>
      <w:r>
        <w:rPr>
          <w:rFonts w:ascii="Times New Roman" w:hAnsi="Times New Roman" w:cs="Times New Roman"/>
          <w:sz w:val="28"/>
          <w:szCs w:val="28"/>
        </w:rPr>
        <w:t>5 «Сколько детей Вы родили?»</w:t>
      </w:r>
      <w:r w:rsidRPr="001E21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1E2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«Год рождения первого ребенка» переписного листа </w:t>
      </w:r>
      <w:r w:rsidRPr="00DC3B42">
        <w:rPr>
          <w:rFonts w:ascii="Times New Roman" w:hAnsi="Times New Roman" w:cs="Times New Roman"/>
          <w:sz w:val="28"/>
          <w:szCs w:val="28"/>
        </w:rPr>
        <w:t>формы Л</w:t>
      </w:r>
      <w:r w:rsidRPr="001E21E3">
        <w:rPr>
          <w:rFonts w:ascii="Times New Roman" w:hAnsi="Times New Roman" w:cs="Times New Roman"/>
          <w:sz w:val="28"/>
          <w:szCs w:val="28"/>
        </w:rPr>
        <w:t>. Учитывалось общее число рожденных детей (не считая мертворожденных), независимо от того, были 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21E3">
        <w:rPr>
          <w:rFonts w:ascii="Times New Roman" w:hAnsi="Times New Roman" w:cs="Times New Roman"/>
          <w:sz w:val="28"/>
          <w:szCs w:val="28"/>
        </w:rPr>
        <w:t>живы все дети на дату переписи или нет, входили ли они в состав домохозяйства родившей их женщины или проживали отдельно. Усыновленные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21E3">
        <w:rPr>
          <w:rFonts w:ascii="Times New Roman" w:hAnsi="Times New Roman" w:cs="Times New Roman"/>
          <w:sz w:val="28"/>
          <w:szCs w:val="28"/>
        </w:rPr>
        <w:t>патронируемые дети, а также дети мужа от прежнего брака в число детей, рожденных женщиной, не включались.</w:t>
      </w:r>
      <w:r>
        <w:rPr>
          <w:rFonts w:ascii="Times New Roman" w:hAnsi="Times New Roman" w:cs="Times New Roman"/>
          <w:sz w:val="28"/>
          <w:szCs w:val="28"/>
        </w:rPr>
        <w:t xml:space="preserve"> Женщины, не родившие ни одного ребенка, указывали 0 детей.</w:t>
      </w:r>
    </w:p>
    <w:p w14:paraId="713A8157" w14:textId="237F0A24" w:rsidR="00FF03B5" w:rsidRPr="001E21E3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FA">
        <w:rPr>
          <w:rFonts w:ascii="Times New Roman" w:hAnsi="Times New Roman" w:cs="Times New Roman"/>
          <w:sz w:val="28"/>
          <w:szCs w:val="28"/>
        </w:rPr>
        <w:t>Данные о числе рожденных детей, представленные в таблицах, получены на основе ответов на вопрос 5 «Сколько детей Вы родили?» переписного листа формы Л.</w:t>
      </w:r>
    </w:p>
    <w:p w14:paraId="6C80EB9A" w14:textId="77777777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sz w:val="28"/>
          <w:szCs w:val="28"/>
        </w:rPr>
        <w:t>Среднее число рожденных детей (на 1000 женщин) вычислено как отношение общего числа рожденных детей к численности женщин, указавших число рожденны</w:t>
      </w:r>
      <w:r>
        <w:rPr>
          <w:rFonts w:ascii="Times New Roman" w:hAnsi="Times New Roman" w:cs="Times New Roman"/>
          <w:sz w:val="28"/>
          <w:szCs w:val="28"/>
        </w:rPr>
        <w:t>х дет</w:t>
      </w:r>
      <w:r w:rsidRPr="001E21E3">
        <w:rPr>
          <w:rFonts w:ascii="Times New Roman" w:hAnsi="Times New Roman" w:cs="Times New Roman"/>
          <w:sz w:val="28"/>
          <w:szCs w:val="28"/>
        </w:rPr>
        <w:t>ей, умноженное на 1000.</w:t>
      </w:r>
    </w:p>
    <w:p w14:paraId="28DB5CAC" w14:textId="5B016989" w:rsidR="00FF03B5" w:rsidRDefault="00FF03B5" w:rsidP="00FF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BE">
        <w:rPr>
          <w:rFonts w:ascii="Times New Roman" w:hAnsi="Times New Roman" w:cs="Times New Roman"/>
          <w:b/>
          <w:sz w:val="28"/>
          <w:szCs w:val="28"/>
        </w:rPr>
        <w:t>Возраст.</w:t>
      </w:r>
      <w:r>
        <w:rPr>
          <w:rFonts w:ascii="Times New Roman" w:hAnsi="Times New Roman" w:cs="Times New Roman"/>
          <w:sz w:val="28"/>
          <w:szCs w:val="28"/>
        </w:rPr>
        <w:t xml:space="preserve"> Данные о возрасте получены на основе ответов </w:t>
      </w:r>
      <w:r w:rsidRPr="00DC3B42">
        <w:rPr>
          <w:rFonts w:ascii="Times New Roman" w:hAnsi="Times New Roman" w:cs="Times New Roman"/>
          <w:sz w:val="28"/>
          <w:szCs w:val="28"/>
        </w:rPr>
        <w:t>на вопрос 3</w:t>
      </w:r>
      <w:r>
        <w:rPr>
          <w:rFonts w:ascii="Times New Roman" w:hAnsi="Times New Roman" w:cs="Times New Roman"/>
          <w:sz w:val="28"/>
          <w:szCs w:val="28"/>
        </w:rPr>
        <w:t xml:space="preserve"> «Дата Вашего рождения» </w:t>
      </w:r>
      <w:r w:rsidRPr="00DC3B42">
        <w:rPr>
          <w:rFonts w:ascii="Times New Roman" w:hAnsi="Times New Roman" w:cs="Times New Roman"/>
          <w:sz w:val="28"/>
          <w:szCs w:val="28"/>
        </w:rPr>
        <w:t>переписн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3B42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B42">
        <w:rPr>
          <w:rFonts w:ascii="Times New Roman" w:hAnsi="Times New Roman" w:cs="Times New Roman"/>
          <w:sz w:val="28"/>
          <w:szCs w:val="28"/>
        </w:rPr>
        <w:t xml:space="preserve"> формы Л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даты рождения автоматически рассчитано полное число исполнившихся лет. В таблицах </w:t>
      </w:r>
      <w:r w:rsidRPr="00FF0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03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приводятся данные по укрупненным возрастным группам женщин: трудоспособный возраст – 16-56,5 лет, старше трудоспособного возраста – 56,5 лет и более. По сравнению с Всероссийской переписью населения 2010 года изменен алгоритм формирования групп «женщины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трудоспособного возраста» и «женщины старше трудоспособного возраста» из-за измененного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межпереписной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пенсионного возраста: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FF03B5" w14:paraId="0D619F3B" w14:textId="77777777" w:rsidTr="00FF03B5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15A" w14:textId="77777777" w:rsidR="00FF03B5" w:rsidRDefault="00FF03B5" w:rsidP="00FF0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C61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9868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FF03B5" w14:paraId="1C83C70D" w14:textId="77777777" w:rsidTr="00FF03B5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5EEA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трудоспособного возраста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7F5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16-56,5 лет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A313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16-54 лет</w:t>
            </w:r>
          </w:p>
        </w:tc>
      </w:tr>
      <w:tr w:rsidR="00FF03B5" w14:paraId="64EC10F8" w14:textId="77777777" w:rsidTr="00FF03B5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0B94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старше трудоспособного возраста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D5AD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 лет и более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2E6F" w14:textId="77777777" w:rsidR="00FF03B5" w:rsidRDefault="00FF03B5" w:rsidP="00FF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 и более</w:t>
            </w:r>
          </w:p>
        </w:tc>
      </w:tr>
    </w:tbl>
    <w:p w14:paraId="718A3C98" w14:textId="379BDE2B" w:rsidR="00FF03B5" w:rsidRPr="00B27166" w:rsidRDefault="00FF03B5" w:rsidP="009E2BD0">
      <w:pPr>
        <w:widowControl w:val="0"/>
        <w:spacing w:before="20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представлено распределение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занятых </w:t>
      </w:r>
      <w:r w:rsidRPr="00B92FCA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 xml:space="preserve"> частных домохозяйств в возрасте 15 лет и более</w:t>
      </w:r>
      <w:r w:rsidRPr="00220542">
        <w:t xml:space="preserve"> </w:t>
      </w:r>
      <w:r w:rsidRPr="00220542">
        <w:rPr>
          <w:rFonts w:ascii="Times New Roman" w:hAnsi="Times New Roman" w:cs="Times New Roman"/>
          <w:sz w:val="28"/>
          <w:szCs w:val="28"/>
        </w:rPr>
        <w:t>по возрастным группам</w:t>
      </w:r>
      <w:r w:rsidR="009E2BD0">
        <w:rPr>
          <w:rFonts w:ascii="Times New Roman" w:hAnsi="Times New Roman" w:cs="Times New Roman"/>
          <w:sz w:val="28"/>
          <w:szCs w:val="28"/>
        </w:rPr>
        <w:t xml:space="preserve">, </w:t>
      </w:r>
      <w:r w:rsidR="009E2BD0" w:rsidRPr="009E2BD0">
        <w:rPr>
          <w:rFonts w:ascii="Times New Roman" w:hAnsi="Times New Roman" w:cs="Times New Roman"/>
          <w:sz w:val="28"/>
          <w:szCs w:val="28"/>
        </w:rPr>
        <w:t>возрасту, в котором они родили первого ребенка</w:t>
      </w:r>
      <w:r w:rsidR="009E2BD0">
        <w:rPr>
          <w:rFonts w:ascii="Times New Roman" w:hAnsi="Times New Roman" w:cs="Times New Roman"/>
          <w:sz w:val="28"/>
          <w:szCs w:val="28"/>
        </w:rPr>
        <w:t xml:space="preserve">, </w:t>
      </w:r>
      <w:r w:rsidRPr="00220542">
        <w:rPr>
          <w:rFonts w:ascii="Times New Roman" w:hAnsi="Times New Roman" w:cs="Times New Roman"/>
          <w:sz w:val="28"/>
          <w:szCs w:val="28"/>
        </w:rPr>
        <w:t>и числу рожденных детей</w:t>
      </w:r>
      <w:r>
        <w:rPr>
          <w:rFonts w:ascii="Times New Roman" w:hAnsi="Times New Roman" w:cs="Times New Roman"/>
          <w:sz w:val="28"/>
          <w:szCs w:val="28"/>
        </w:rPr>
        <w:t xml:space="preserve">. Занятыми считаются те, кто на неделе, предшествующей дате переписи, имел работу, приносящую заработок или доход. </w:t>
      </w:r>
      <w:r w:rsidRPr="00C62B0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занятости </w:t>
      </w:r>
      <w:r w:rsidRPr="00C62B0E">
        <w:rPr>
          <w:rFonts w:ascii="Times New Roman" w:hAnsi="Times New Roman" w:cs="Times New Roman"/>
          <w:sz w:val="28"/>
          <w:szCs w:val="28"/>
        </w:rPr>
        <w:t>получена на основе ответов на 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Pr="00C62B0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«Имели ли Вы какую-либо оплачиваемую работу или доходное занятие с 24 по 30 сентября 2021 года»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переписного листа формы Л, который задавался населению в возрасте 15 лет и более.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780A">
        <w:rPr>
          <w:rFonts w:ascii="Times New Roman" w:hAnsi="Times New Roman" w:cs="Times New Roman"/>
          <w:sz w:val="28"/>
          <w:szCs w:val="28"/>
        </w:rPr>
        <w:t>Данные о возрасте женщины при рождении первого ребенка получены на основе ответа на вопрос 5.1 «Год рождения первого ребенка» переписного листа формы Л.</w:t>
      </w:r>
    </w:p>
    <w:p w14:paraId="5F437885" w14:textId="2A954C58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</w:t>
      </w:r>
      <w:r w:rsidRPr="00B92FCA">
        <w:rPr>
          <w:rFonts w:ascii="Times New Roman" w:hAnsi="Times New Roman" w:cs="Times New Roman"/>
          <w:b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женщин, приведенные в таблице </w:t>
      </w:r>
      <w:r w:rsidRPr="00FF03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получены на основе ответов на вопрос 15 «Ваше образование» переписного листа формы Л. В таблице 5 представлено распределение женщин по уровням образования, установленным Федеральным законом от 29 декабря 2012 г. № 273-ФЗ «Об образовании в Российской Федерации» (с изменениями). Согласно законодательству наличие определенного уровня образования предполагает достижение и подтверждение человеком определенного образовательного ценза, в результате чего ему выдается соответствующий документ (при переписи не требовалось документальное подтверждение ответа респондента). При ответе указывался наивысший из достигнутых уровень образования. В зависимости от ответа отмечалось: </w:t>
      </w:r>
    </w:p>
    <w:p w14:paraId="3A737656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кадры высшей квалификации (ранее – послевузовское) – окончившим аспирантуру, докторантуру, ординатуру и адъюнктуру (независимо </w:t>
      </w:r>
      <w:r>
        <w:rPr>
          <w:rFonts w:ascii="Times New Roman" w:hAnsi="Times New Roman" w:cs="Times New Roman"/>
          <w:sz w:val="28"/>
          <w:szCs w:val="28"/>
        </w:rPr>
        <w:br/>
        <w:t xml:space="preserve">от защиты диссертации); </w:t>
      </w:r>
    </w:p>
    <w:p w14:paraId="7A8F89EB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профессиональное – окончившим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 организацию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институт, академию, университет и т. п. по ступеням: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магистратура;</w:t>
      </w:r>
    </w:p>
    <w:p w14:paraId="6FAB03EA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неполное высшее профессиональное (незаконченное высшее) – завершившим обучение по основной образовательной программе высшего профессионального образования в объеме не менее 2-х лет срока обучения и получившим диплом о неполном высшем профессиональном образовании. Этот уровень отмечался и тем, кто до 2007 года закончил обучение без получения документа об образовании по образовательной программе высшего образования в объеме не менее половины срока обучения; </w:t>
      </w:r>
    </w:p>
    <w:p w14:paraId="0EC2187A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– окончившим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 ступеням: </w:t>
      </w:r>
    </w:p>
    <w:p w14:paraId="4731CC86" w14:textId="77777777" w:rsidR="00FF03B5" w:rsidRDefault="00FF03B5" w:rsidP="00FF03B5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рабочий, служащий – окончившим профессиональное училище, профессиональный лицей, учебно-курсовой комбинат, учебно-производственный центр, техническую школу, например, мореходную, и другие) на базе 8 (9) классов общеобразовательной организации (школы) или на базе среднего (полного) общего образования. Этот уровень соответствует начальному профессиональному образованию в прошлом;</w:t>
      </w:r>
    </w:p>
    <w:p w14:paraId="5C80001A" w14:textId="77777777" w:rsidR="00FF03B5" w:rsidRDefault="00FF03B5" w:rsidP="00FF03B5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среднего звена – окончившим техникум, училище (медицинское, педагогическое), колледж, техникум-предприятие и тому подобное. Этот уровень соответствует среднему профессиональному образованию в прошлом;</w:t>
      </w:r>
    </w:p>
    <w:p w14:paraId="3590D3F7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(полное) общее – окончившим общеобразовательную организацию – школу, лицей, гимназию и т.п. и получившим аттестат о среднем (полном) общем образовании;</w:t>
      </w:r>
    </w:p>
    <w:p w14:paraId="10208180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(неполное среднее) – окончившим 9 классов общеобразовательной организации, неполную среднюю школу, а также учащимся 10-11 (12) классов общеобразовательной организации; </w:t>
      </w:r>
    </w:p>
    <w:p w14:paraId="4A14CC03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общее и ниже – окончившим начальную общеобразовательную школу, учащимся 4-9 классов общеобразовательной организации, а также обучавшимся по программе дошкольного образования и не получившим уровня начального общего образования. </w:t>
      </w:r>
    </w:p>
    <w:p w14:paraId="1AE377FE" w14:textId="77777777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Учащимся и окончившим образовательную организацию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реализующую дополнительные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не дающую общего образования (например, учебно-курсовой комбинат, учебно-производственный центр, курсы переподготовки и повышения квалификации, подготовительные курсы при учебных заведениях и т.п.), отмечался уровень образования, полученный ими до поступления в эти образовательные организации. </w:t>
      </w:r>
    </w:p>
    <w:p w14:paraId="772420AF" w14:textId="62E02D66" w:rsidR="00FF03B5" w:rsidRDefault="00FF03B5" w:rsidP="00FF03B5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таблице </w:t>
      </w:r>
      <w:r w:rsidRPr="00FF03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распределение </w:t>
      </w:r>
      <w:r w:rsidRPr="00220542">
        <w:rPr>
          <w:rFonts w:ascii="Times New Roman" w:hAnsi="Times New Roman" w:cs="Times New Roman"/>
          <w:b/>
          <w:sz w:val="28"/>
          <w:szCs w:val="28"/>
        </w:rPr>
        <w:t>состоящих в браке женщин</w:t>
      </w:r>
      <w:r w:rsidRPr="00220542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0542">
        <w:rPr>
          <w:rFonts w:ascii="Times New Roman" w:hAnsi="Times New Roman" w:cs="Times New Roman"/>
          <w:sz w:val="28"/>
          <w:szCs w:val="28"/>
        </w:rPr>
        <w:t xml:space="preserve"> в частных  домохозяйствах, по возрастным группам и числу рожденных детей</w:t>
      </w:r>
      <w:r>
        <w:rPr>
          <w:rFonts w:ascii="Times New Roman" w:hAnsi="Times New Roman" w:cs="Times New Roman"/>
          <w:sz w:val="28"/>
          <w:szCs w:val="28"/>
        </w:rPr>
        <w:t xml:space="preserve">. Состоящими в браке считаются женщины, указавшие в вопросе 4 «Ваше состояние в браке» переписного листа формы Л ответы «состою в зарегистрированном браке» или «состою в незарегистрированном супружеском союзе». Вопрос о состоянии в браке заполнялся для всех лиц в возрасте 16 лет и более, а также для тех респондентов в возрасте моложе 16 лет, которые фактически на дату переписи или ранее состояли в зарегистрированном браке или незарегистрированном супружеском союзе. </w:t>
      </w:r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Саратовской области от 23.12.2004  №79-ЗСО «О городских округах»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>; по 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FF03B5" w:rsidRDefault="00FF03B5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FF03B5" w:rsidRDefault="00FF03B5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FF03B5" w:rsidRDefault="00FF03B5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FF03B5" w:rsidRDefault="00FF03B5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Content>
      <w:p w14:paraId="4513A14B" w14:textId="346195CF" w:rsidR="00FF03B5" w:rsidRDefault="00FF03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D0">
          <w:rPr>
            <w:noProof/>
          </w:rPr>
          <w:t>11</w:t>
        </w:r>
        <w:r>
          <w:fldChar w:fldCharType="end"/>
        </w:r>
      </w:p>
    </w:sdtContent>
  </w:sdt>
  <w:p w14:paraId="1007C190" w14:textId="77777777" w:rsidR="00FF03B5" w:rsidRDefault="00FF03B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E572D"/>
    <w:rsid w:val="0046108B"/>
    <w:rsid w:val="00467365"/>
    <w:rsid w:val="004F3EF6"/>
    <w:rsid w:val="005307CF"/>
    <w:rsid w:val="005418D2"/>
    <w:rsid w:val="00652637"/>
    <w:rsid w:val="006A06E2"/>
    <w:rsid w:val="007950C1"/>
    <w:rsid w:val="008025B7"/>
    <w:rsid w:val="008E751F"/>
    <w:rsid w:val="008F1051"/>
    <w:rsid w:val="009B6B03"/>
    <w:rsid w:val="009C3AD2"/>
    <w:rsid w:val="009E2BD0"/>
    <w:rsid w:val="00A562A8"/>
    <w:rsid w:val="00A97E37"/>
    <w:rsid w:val="00B659DF"/>
    <w:rsid w:val="00BA4F3D"/>
    <w:rsid w:val="00BC55F8"/>
    <w:rsid w:val="00C819AF"/>
    <w:rsid w:val="00CA6849"/>
    <w:rsid w:val="00D471C4"/>
    <w:rsid w:val="00D726BA"/>
    <w:rsid w:val="00D74A5B"/>
    <w:rsid w:val="00DD0ECB"/>
    <w:rsid w:val="00E057D8"/>
    <w:rsid w:val="00E10611"/>
    <w:rsid w:val="00EA56EE"/>
    <w:rsid w:val="00F167FC"/>
    <w:rsid w:val="00F444C3"/>
    <w:rsid w:val="00F5756B"/>
    <w:rsid w:val="00FB4C13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32</cp:revision>
  <cp:lastPrinted>2022-11-11T06:27:00Z</cp:lastPrinted>
  <dcterms:created xsi:type="dcterms:W3CDTF">2022-07-06T11:10:00Z</dcterms:created>
  <dcterms:modified xsi:type="dcterms:W3CDTF">2022-12-23T11:58:00Z</dcterms:modified>
</cp:coreProperties>
</file>